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Pr="000E1544" w:rsidRDefault="00936640" w:rsidP="005F2B83">
      <w:pPr>
        <w:spacing w:after="0" w:line="480" w:lineRule="auto"/>
        <w:ind w:firstLine="720"/>
        <w:jc w:val="center"/>
        <w:rPr>
          <w:rFonts w:ascii="Times New Roman" w:hAnsi="Times New Roman" w:cs="Times New Roman"/>
          <w:sz w:val="24"/>
          <w:szCs w:val="24"/>
        </w:rPr>
      </w:pPr>
      <w:bookmarkStart w:id="0" w:name="_GoBack"/>
      <w:r w:rsidRPr="000E1544">
        <w:rPr>
          <w:rFonts w:ascii="Times New Roman" w:hAnsi="Times New Roman" w:cs="Times New Roman"/>
          <w:sz w:val="24"/>
          <w:szCs w:val="24"/>
        </w:rPr>
        <w:t>Econometrics of Oil</w:t>
      </w:r>
    </w:p>
    <w:bookmarkEnd w:id="0"/>
    <w:p w:rsidR="005F2B83" w:rsidRPr="000E1544" w:rsidRDefault="00936640" w:rsidP="005F2B83">
      <w:pPr>
        <w:spacing w:after="0" w:line="480" w:lineRule="auto"/>
        <w:ind w:firstLine="720"/>
        <w:jc w:val="center"/>
        <w:rPr>
          <w:rFonts w:ascii="Times New Roman" w:hAnsi="Times New Roman" w:cs="Times New Roman"/>
          <w:sz w:val="24"/>
          <w:szCs w:val="24"/>
        </w:rPr>
      </w:pPr>
      <w:r w:rsidRPr="000E1544">
        <w:rPr>
          <w:rFonts w:ascii="Times New Roman" w:hAnsi="Times New Roman" w:cs="Times New Roman"/>
          <w:sz w:val="24"/>
          <w:szCs w:val="24"/>
        </w:rPr>
        <w:t>Name</w:t>
      </w:r>
    </w:p>
    <w:p w:rsidR="005F2B83" w:rsidRPr="000E1544" w:rsidRDefault="00936640" w:rsidP="005F2B83">
      <w:pPr>
        <w:spacing w:after="0" w:line="480" w:lineRule="auto"/>
        <w:ind w:firstLine="720"/>
        <w:jc w:val="center"/>
        <w:rPr>
          <w:rFonts w:ascii="Times New Roman" w:hAnsi="Times New Roman" w:cs="Times New Roman"/>
          <w:sz w:val="24"/>
          <w:szCs w:val="24"/>
        </w:rPr>
      </w:pPr>
      <w:r w:rsidRPr="000E1544">
        <w:rPr>
          <w:rFonts w:ascii="Times New Roman" w:hAnsi="Times New Roman" w:cs="Times New Roman"/>
          <w:sz w:val="24"/>
          <w:szCs w:val="24"/>
        </w:rPr>
        <w:t>Instructor</w:t>
      </w:r>
    </w:p>
    <w:p w:rsidR="005F2B83" w:rsidRPr="000E1544" w:rsidRDefault="00936640" w:rsidP="005F2B83">
      <w:pPr>
        <w:spacing w:after="0" w:line="480" w:lineRule="auto"/>
        <w:ind w:firstLine="720"/>
        <w:jc w:val="center"/>
        <w:rPr>
          <w:rFonts w:ascii="Times New Roman" w:hAnsi="Times New Roman" w:cs="Times New Roman"/>
          <w:sz w:val="24"/>
          <w:szCs w:val="24"/>
        </w:rPr>
      </w:pPr>
      <w:r w:rsidRPr="000E1544">
        <w:rPr>
          <w:rFonts w:ascii="Times New Roman" w:hAnsi="Times New Roman" w:cs="Times New Roman"/>
          <w:sz w:val="24"/>
          <w:szCs w:val="24"/>
        </w:rPr>
        <w:t>Institution Affiliate</w:t>
      </w: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D95841" w:rsidP="005F2B83">
      <w:pPr>
        <w:spacing w:after="0" w:line="480" w:lineRule="auto"/>
        <w:ind w:firstLine="720"/>
        <w:jc w:val="center"/>
        <w:rPr>
          <w:rFonts w:ascii="Times New Roman" w:hAnsi="Times New Roman" w:cs="Times New Roman"/>
          <w:sz w:val="28"/>
          <w:szCs w:val="24"/>
        </w:rPr>
      </w:pPr>
    </w:p>
    <w:p w:rsidR="005F2B83" w:rsidRDefault="00936640" w:rsidP="005F2B83">
      <w:pPr>
        <w:spacing w:after="0" w:line="480" w:lineRule="auto"/>
        <w:ind w:firstLine="720"/>
        <w:jc w:val="center"/>
        <w:rPr>
          <w:rFonts w:ascii="Times New Roman" w:hAnsi="Times New Roman" w:cs="Times New Roman"/>
          <w:sz w:val="28"/>
          <w:szCs w:val="24"/>
        </w:rPr>
      </w:pPr>
      <w:r>
        <w:rPr>
          <w:rFonts w:ascii="Times New Roman" w:hAnsi="Times New Roman" w:cs="Times New Roman"/>
          <w:sz w:val="28"/>
          <w:szCs w:val="24"/>
        </w:rPr>
        <w:t>Date</w:t>
      </w:r>
    </w:p>
    <w:p w:rsidR="005F2B83" w:rsidRDefault="00D95841" w:rsidP="005F2B83">
      <w:pPr>
        <w:spacing w:after="0" w:line="480" w:lineRule="auto"/>
        <w:ind w:firstLine="720"/>
        <w:jc w:val="center"/>
        <w:rPr>
          <w:rFonts w:ascii="Times New Roman" w:hAnsi="Times New Roman" w:cs="Times New Roman"/>
          <w:sz w:val="28"/>
          <w:szCs w:val="24"/>
        </w:rPr>
      </w:pP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lastRenderedPageBreak/>
        <w:t xml:space="preserve">All man’s best productive economic activities rely on energy. This means that without energy sources, there would be no industry or agriculture. It can also be explained on customer and other related activities. Oil is the leading source of energy that helps to run many industrial and service industries. When the product faces issues of price fluctuation exceeding 1000%, then oil becomes the main issue in the deterioration of the global economy.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Most people believe that the oil-producing nations particularly OPEC members get huge profits after selling their Oil. Nonetheless, from the analysis of the CIA World </w:t>
      </w:r>
      <w:proofErr w:type="spellStart"/>
      <w:r w:rsidRPr="000E1544">
        <w:rPr>
          <w:rFonts w:ascii="Times New Roman" w:hAnsi="Times New Roman" w:cs="Times New Roman"/>
          <w:sz w:val="24"/>
          <w:szCs w:val="24"/>
        </w:rPr>
        <w:t>Factbook</w:t>
      </w:r>
      <w:proofErr w:type="spellEnd"/>
      <w:r w:rsidRPr="000E1544">
        <w:rPr>
          <w:rFonts w:ascii="Times New Roman" w:hAnsi="Times New Roman" w:cs="Times New Roman"/>
          <w:sz w:val="24"/>
          <w:szCs w:val="24"/>
        </w:rPr>
        <w:t xml:space="preserve">, that seems to be a myth. There are huge profits generated from selling oil, but they are not felt by OPEC (Banikhalid, 2017).  The countries that make huge profits from oil money and taxation are The G7 countries (The UK, the USA, France, Japan, Canada, Italy, and Germany). After analysis of the GDP of OPEC countries as compared to GDP of G7nations, the G7 countries made more than $1.3 trillion after taxing oil.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On the other hand, the revenues from OPEC members were just $850 billion over the same period between 2016 -2017.  Additionally, the $1.3 trillion profit was without any taxes, whereas the $850 billion income was subjected to meeting the costs of exploration and shipment (The World Factbook — Central Intelligence Agency).  After calculating the annual averages per year, it is established that after the OPEC countries manage to get $170 billion annually as revenues from sales, the G7 nations collected  $270 billion annually roughly, $100 billion annually more than OPEC.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It is evident that the G7 are the once that are the profiteers whereas the burden is transferred to OPEC nations.  It can be realized from the average GDP per capita in $US of the G7 countries and that of OPEC nations that there are a very big regional variations product prices. This variation result from the different levels of taxation in exporting and consuming </w:t>
      </w:r>
      <w:r w:rsidRPr="000E1544">
        <w:rPr>
          <w:rFonts w:ascii="Times New Roman" w:hAnsi="Times New Roman" w:cs="Times New Roman"/>
          <w:sz w:val="24"/>
          <w:szCs w:val="24"/>
        </w:rPr>
        <w:lastRenderedPageBreak/>
        <w:t xml:space="preserve">countries.  The differences can be modest in Canada and US whereas high in European countries. The calculations illustrated the country variations in the prices of a litre of oil both in OPEC nations as well as G7 in 2016 (The World Factbook — Central Intelligence Agency).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The aspect of G7 countries engaging in the recycling of the petrodollar has seen such countries get enough money to support activities that allow investments and consumption spending. The G7 countries have been benefiting from oil exporting countries through investments. These countries benefit from merchandise trade. Between 2002 to 2006 oil-exporting countries increased merchandise imports by $116 billion. The new increase of $179billion means 20 cents of each$1 purchase come back to the United States. It a pure explanation of how the U.S is controlling the oil industry in OPEC countries.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According to </w:t>
      </w:r>
      <w:r w:rsidR="00D24DFA" w:rsidRPr="000E1544">
        <w:rPr>
          <w:rFonts w:ascii="Times New Roman" w:hAnsi="Times New Roman" w:cs="Times New Roman"/>
          <w:sz w:val="24"/>
          <w:szCs w:val="24"/>
        </w:rPr>
        <w:t>Banikhalid (</w:t>
      </w:r>
      <w:r w:rsidRPr="000E1544">
        <w:rPr>
          <w:rFonts w:ascii="Times New Roman" w:hAnsi="Times New Roman" w:cs="Times New Roman"/>
          <w:sz w:val="24"/>
          <w:szCs w:val="24"/>
        </w:rPr>
        <w:t xml:space="preserve">2017), it is imperative to understand that the variations in prices are as a result of different taxes that are imposed by countries which consume oil. For instance, in the government of UK managed to earn 69% of prices that charges from each litre sold to consumers. On the other hand, OPEC countries managed to earn about 19. % of the fuel sold to consumers. Whereas oil is normally a big affair, the ever increasing in prices has always increased fuel costs to the disadvantage of consumers whereas creating more wealth to foreign countries known OPEC members.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Research has shown that oil prices should be part of supply and demand theory. It implies that when supply and supply of a commodity increase, then price must drop. However, in this case it is the opposite (The World Factbook — Central Intelligence Agency). Oil product which is the most famous source of energy has made prices to be more complex. Supply and demand form a small portion of the difficult equation that creates elements of environmental concerns </w:t>
      </w:r>
      <w:r w:rsidRPr="000E1544">
        <w:rPr>
          <w:rFonts w:ascii="Times New Roman" w:hAnsi="Times New Roman" w:cs="Times New Roman"/>
          <w:sz w:val="24"/>
          <w:szCs w:val="24"/>
        </w:rPr>
        <w:lastRenderedPageBreak/>
        <w:t xml:space="preserve">and geopolitics. Countries that hold taxing and pricing power are those that known as “resource control”. </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From this case, the G7 countries tend to benefit more from oil as an important source of energy. On the other hand, OPEC countries which mostly have large reserves of oil are termed “resource endowment”. Such countries have oil wells that occur naturally but they don’t enjoy huge profits.  The increase in fuel prices in all economies that imports oil largely depends on the way oil exporters exhibit their windfall revenues.</w:t>
      </w:r>
    </w:p>
    <w:p w:rsidR="000F078D"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There have been measures to recycle petrodollars to buy goods and services from G7 countries known as “resource control" to help save the economy from high taxes and prices. Most G7 nations have been applying petrodollar recycling as a means of boosting their surplus and wealth. For instance, the OPEC countries will run to buy goods in resource countries where they will also spend the revenues they earned from the same oil sales. </w:t>
      </w:r>
    </w:p>
    <w:p w:rsidR="004E7AFC" w:rsidRPr="000E1544" w:rsidRDefault="00936640" w:rsidP="000E1544">
      <w:pPr>
        <w:spacing w:after="0" w:line="480" w:lineRule="auto"/>
        <w:ind w:firstLine="720"/>
        <w:rPr>
          <w:rFonts w:ascii="Times New Roman" w:hAnsi="Times New Roman" w:cs="Times New Roman"/>
          <w:sz w:val="24"/>
          <w:szCs w:val="24"/>
        </w:rPr>
      </w:pPr>
      <w:r w:rsidRPr="000E1544">
        <w:rPr>
          <w:rFonts w:ascii="Times New Roman" w:hAnsi="Times New Roman" w:cs="Times New Roman"/>
          <w:sz w:val="24"/>
          <w:szCs w:val="24"/>
        </w:rPr>
        <w:t xml:space="preserve">The recycling of the petrodollar has seen such countries get enough money to support activities that allow investments and consumption spending (Higgins, </w:t>
      </w:r>
      <w:proofErr w:type="gramStart"/>
      <w:r w:rsidRPr="000E1544">
        <w:rPr>
          <w:rFonts w:ascii="Times New Roman" w:hAnsi="Times New Roman" w:cs="Times New Roman"/>
          <w:sz w:val="24"/>
          <w:szCs w:val="24"/>
        </w:rPr>
        <w:t>et</w:t>
      </w:r>
      <w:proofErr w:type="gramEnd"/>
      <w:r w:rsidRPr="000E1544">
        <w:rPr>
          <w:rFonts w:ascii="Times New Roman" w:hAnsi="Times New Roman" w:cs="Times New Roman"/>
          <w:sz w:val="24"/>
          <w:szCs w:val="24"/>
        </w:rPr>
        <w:t>, 2006). The G7 countries have been benefiting from oil exporting countries through investments. These countries benefit from merchandise trade. Between 2002 to 2006 oil-exporting countries increased merchandise imports by $116 billion. The new increase of $179billion means 20 cents of each$1 purchase come back to the United States. It a pure explanation of how the U.S is controlling the oil industry in OPEC countries.</w:t>
      </w:r>
    </w:p>
    <w:p w:rsidR="005F2B83" w:rsidRDefault="00D95841" w:rsidP="005F2B83">
      <w:pPr>
        <w:spacing w:after="0" w:line="480" w:lineRule="auto"/>
        <w:rPr>
          <w:rFonts w:ascii="Times New Roman" w:hAnsi="Times New Roman" w:cs="Times New Roman"/>
          <w:sz w:val="28"/>
          <w:szCs w:val="24"/>
        </w:rPr>
      </w:pPr>
    </w:p>
    <w:p w:rsidR="005F2B83" w:rsidRDefault="00D95841" w:rsidP="005F2B83">
      <w:pPr>
        <w:spacing w:after="0" w:line="480" w:lineRule="auto"/>
        <w:rPr>
          <w:rFonts w:ascii="Times New Roman" w:hAnsi="Times New Roman" w:cs="Times New Roman"/>
          <w:sz w:val="28"/>
          <w:szCs w:val="24"/>
        </w:rPr>
      </w:pPr>
    </w:p>
    <w:p w:rsidR="005F2B83" w:rsidRDefault="00D95841" w:rsidP="005F2B83">
      <w:pPr>
        <w:spacing w:after="0" w:line="480" w:lineRule="auto"/>
        <w:rPr>
          <w:rFonts w:ascii="Times New Roman" w:hAnsi="Times New Roman" w:cs="Times New Roman"/>
          <w:sz w:val="28"/>
          <w:szCs w:val="24"/>
        </w:rPr>
      </w:pPr>
    </w:p>
    <w:p w:rsidR="00BE12B2" w:rsidRDefault="00BE12B2" w:rsidP="00BE12B2">
      <w:pPr>
        <w:spacing w:after="0" w:line="480" w:lineRule="auto"/>
        <w:rPr>
          <w:rFonts w:ascii="Times New Roman" w:hAnsi="Times New Roman" w:cs="Times New Roman"/>
          <w:sz w:val="28"/>
          <w:szCs w:val="24"/>
        </w:rPr>
      </w:pPr>
    </w:p>
    <w:p w:rsidR="005F2B83" w:rsidRDefault="00936640" w:rsidP="00BE12B2">
      <w:pPr>
        <w:spacing w:after="0" w:line="480" w:lineRule="auto"/>
        <w:jc w:val="center"/>
        <w:rPr>
          <w:rFonts w:ascii="Times New Roman" w:hAnsi="Times New Roman" w:cs="Times New Roman"/>
          <w:sz w:val="28"/>
          <w:szCs w:val="24"/>
        </w:rPr>
      </w:pPr>
      <w:r>
        <w:rPr>
          <w:rFonts w:ascii="Times New Roman" w:hAnsi="Times New Roman" w:cs="Times New Roman"/>
          <w:sz w:val="28"/>
          <w:szCs w:val="24"/>
        </w:rPr>
        <w:lastRenderedPageBreak/>
        <w:t>References</w:t>
      </w:r>
    </w:p>
    <w:p w:rsidR="000E1544" w:rsidRPr="00BE12B2" w:rsidRDefault="00936640" w:rsidP="005F2B83">
      <w:pPr>
        <w:spacing w:after="0" w:line="480" w:lineRule="auto"/>
        <w:rPr>
          <w:rFonts w:ascii="Times New Roman" w:hAnsi="Times New Roman" w:cs="Times New Roman"/>
          <w:sz w:val="24"/>
          <w:szCs w:val="24"/>
        </w:rPr>
      </w:pPr>
      <w:r w:rsidRPr="00BE12B2">
        <w:rPr>
          <w:rFonts w:ascii="Times New Roman" w:hAnsi="Times New Roman" w:cs="Times New Roman"/>
          <w:sz w:val="24"/>
          <w:szCs w:val="24"/>
        </w:rPr>
        <w:t xml:space="preserve">Banikhalid, H (2017). The Impact of Oil Prices on the G7’s Inflation Rate: An </w:t>
      </w:r>
    </w:p>
    <w:p w:rsidR="000E1544" w:rsidRPr="00BE12B2" w:rsidRDefault="00936640" w:rsidP="000E1544">
      <w:pPr>
        <w:spacing w:after="0" w:line="480" w:lineRule="auto"/>
        <w:ind w:firstLine="720"/>
        <w:rPr>
          <w:rFonts w:ascii="Times New Roman" w:hAnsi="Times New Roman" w:cs="Times New Roman"/>
          <w:i/>
          <w:sz w:val="24"/>
          <w:szCs w:val="24"/>
        </w:rPr>
      </w:pPr>
      <w:r w:rsidRPr="00BE12B2">
        <w:rPr>
          <w:rFonts w:ascii="Times New Roman" w:hAnsi="Times New Roman" w:cs="Times New Roman"/>
          <w:sz w:val="24"/>
          <w:szCs w:val="24"/>
        </w:rPr>
        <w:t xml:space="preserve">Econometric Study for the Period (1986-2016). </w:t>
      </w:r>
      <w:r w:rsidRPr="00BE12B2">
        <w:rPr>
          <w:rFonts w:ascii="Times New Roman" w:hAnsi="Times New Roman" w:cs="Times New Roman"/>
          <w:i/>
          <w:sz w:val="24"/>
          <w:szCs w:val="24"/>
        </w:rPr>
        <w:t xml:space="preserve">International Journal of </w:t>
      </w:r>
    </w:p>
    <w:p w:rsidR="006139E8" w:rsidRPr="00BE12B2" w:rsidRDefault="00936640" w:rsidP="000E1544">
      <w:pPr>
        <w:spacing w:after="0" w:line="480" w:lineRule="auto"/>
        <w:ind w:firstLine="720"/>
        <w:rPr>
          <w:rFonts w:ascii="Times New Roman" w:hAnsi="Times New Roman" w:cs="Times New Roman"/>
          <w:sz w:val="24"/>
          <w:szCs w:val="24"/>
        </w:rPr>
      </w:pPr>
      <w:proofErr w:type="gramStart"/>
      <w:r w:rsidRPr="00BE12B2">
        <w:rPr>
          <w:rFonts w:ascii="Times New Roman" w:hAnsi="Times New Roman" w:cs="Times New Roman"/>
          <w:i/>
          <w:sz w:val="24"/>
          <w:szCs w:val="24"/>
        </w:rPr>
        <w:t>Economics and Finance</w:t>
      </w:r>
      <w:r w:rsidRPr="00BE12B2">
        <w:rPr>
          <w:rFonts w:ascii="Times New Roman" w:hAnsi="Times New Roman" w:cs="Times New Roman"/>
          <w:sz w:val="24"/>
          <w:szCs w:val="24"/>
        </w:rPr>
        <w:t>, 9(6), 167.</w:t>
      </w:r>
      <w:proofErr w:type="gramEnd"/>
    </w:p>
    <w:p w:rsidR="000E1544" w:rsidRPr="00BE12B2" w:rsidRDefault="00936640" w:rsidP="005F2B83">
      <w:pPr>
        <w:spacing w:after="0" w:line="480" w:lineRule="auto"/>
        <w:rPr>
          <w:rFonts w:ascii="Times New Roman" w:hAnsi="Times New Roman" w:cs="Times New Roman"/>
          <w:i/>
          <w:sz w:val="24"/>
          <w:szCs w:val="24"/>
        </w:rPr>
      </w:pPr>
      <w:proofErr w:type="gramStart"/>
      <w:r w:rsidRPr="00BE12B2">
        <w:rPr>
          <w:rFonts w:ascii="Times New Roman" w:hAnsi="Times New Roman" w:cs="Times New Roman"/>
          <w:sz w:val="24"/>
          <w:szCs w:val="24"/>
        </w:rPr>
        <w:t>Higgins, et al (2006).</w:t>
      </w:r>
      <w:proofErr w:type="gramEnd"/>
      <w:r w:rsidRPr="00BE12B2">
        <w:rPr>
          <w:rFonts w:ascii="Times New Roman" w:hAnsi="Times New Roman" w:cs="Times New Roman"/>
          <w:sz w:val="24"/>
          <w:szCs w:val="24"/>
        </w:rPr>
        <w:t xml:space="preserve"> </w:t>
      </w:r>
      <w:proofErr w:type="gramStart"/>
      <w:r w:rsidRPr="00BE12B2">
        <w:rPr>
          <w:rFonts w:ascii="Times New Roman" w:hAnsi="Times New Roman" w:cs="Times New Roman"/>
          <w:sz w:val="24"/>
          <w:szCs w:val="24"/>
        </w:rPr>
        <w:t>Recycling Petrodollars.</w:t>
      </w:r>
      <w:proofErr w:type="gramEnd"/>
      <w:r w:rsidRPr="00BE12B2">
        <w:rPr>
          <w:rFonts w:ascii="Times New Roman" w:hAnsi="Times New Roman" w:cs="Times New Roman"/>
          <w:sz w:val="24"/>
          <w:szCs w:val="24"/>
        </w:rPr>
        <w:t xml:space="preserve"> </w:t>
      </w:r>
      <w:r w:rsidRPr="00BE12B2">
        <w:rPr>
          <w:rFonts w:ascii="Times New Roman" w:hAnsi="Times New Roman" w:cs="Times New Roman"/>
          <w:i/>
          <w:sz w:val="24"/>
          <w:szCs w:val="24"/>
        </w:rPr>
        <w:t xml:space="preserve">Current Issues in Economics and </w:t>
      </w:r>
    </w:p>
    <w:p w:rsidR="005F2B83" w:rsidRPr="00BE12B2" w:rsidRDefault="00936640" w:rsidP="000E1544">
      <w:pPr>
        <w:spacing w:after="0" w:line="480" w:lineRule="auto"/>
        <w:ind w:firstLine="720"/>
        <w:rPr>
          <w:rFonts w:ascii="Times New Roman" w:hAnsi="Times New Roman" w:cs="Times New Roman"/>
          <w:sz w:val="24"/>
          <w:szCs w:val="24"/>
        </w:rPr>
      </w:pPr>
      <w:proofErr w:type="gramStart"/>
      <w:r w:rsidRPr="00BE12B2">
        <w:rPr>
          <w:rFonts w:ascii="Times New Roman" w:hAnsi="Times New Roman" w:cs="Times New Roman"/>
          <w:i/>
          <w:sz w:val="24"/>
          <w:szCs w:val="24"/>
        </w:rPr>
        <w:t>Finance</w:t>
      </w:r>
      <w:r w:rsidRPr="00BE12B2">
        <w:rPr>
          <w:rFonts w:ascii="Times New Roman" w:hAnsi="Times New Roman" w:cs="Times New Roman"/>
          <w:sz w:val="24"/>
          <w:szCs w:val="24"/>
        </w:rPr>
        <w:t xml:space="preserve">  12</w:t>
      </w:r>
      <w:proofErr w:type="gramEnd"/>
      <w:r w:rsidRPr="00BE12B2">
        <w:rPr>
          <w:rFonts w:ascii="Times New Roman" w:hAnsi="Times New Roman" w:cs="Times New Roman"/>
          <w:sz w:val="24"/>
          <w:szCs w:val="24"/>
        </w:rPr>
        <w:t xml:space="preserve"> ( 9). </w:t>
      </w:r>
    </w:p>
    <w:p w:rsidR="006139E8" w:rsidRPr="00BE12B2" w:rsidRDefault="00936640" w:rsidP="006139E8">
      <w:pPr>
        <w:spacing w:after="0" w:line="480" w:lineRule="auto"/>
        <w:rPr>
          <w:rFonts w:ascii="Times New Roman" w:hAnsi="Times New Roman" w:cs="Times New Roman"/>
          <w:sz w:val="24"/>
          <w:szCs w:val="24"/>
        </w:rPr>
      </w:pPr>
      <w:r w:rsidRPr="00BE12B2">
        <w:rPr>
          <w:rFonts w:ascii="Times New Roman" w:hAnsi="Times New Roman" w:cs="Times New Roman"/>
          <w:sz w:val="24"/>
          <w:szCs w:val="24"/>
        </w:rPr>
        <w:t>The World Factbook — Central Intelligence Agency</w:t>
      </w:r>
    </w:p>
    <w:p w:rsidR="0057795D" w:rsidRPr="00BE12B2" w:rsidRDefault="00936640" w:rsidP="000E1544">
      <w:pPr>
        <w:spacing w:after="0" w:line="480" w:lineRule="auto"/>
        <w:ind w:firstLine="720"/>
        <w:rPr>
          <w:rFonts w:ascii="Times New Roman" w:hAnsi="Times New Roman" w:cs="Times New Roman"/>
          <w:i/>
          <w:sz w:val="24"/>
          <w:szCs w:val="24"/>
        </w:rPr>
      </w:pPr>
      <w:r w:rsidRPr="00BE12B2">
        <w:rPr>
          <w:rFonts w:ascii="Times New Roman" w:hAnsi="Times New Roman" w:cs="Times New Roman"/>
          <w:i/>
          <w:sz w:val="24"/>
          <w:szCs w:val="24"/>
        </w:rPr>
        <w:t>https://www.cia.gov/library/publications/the-world-factbook</w:t>
      </w:r>
    </w:p>
    <w:sectPr w:rsidR="0057795D" w:rsidRPr="00BE12B2" w:rsidSect="005F2B83">
      <w:headerReference w:type="default" r:id="rId6"/>
      <w:headerReference w:type="first" r:id="rId7"/>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C74E51F" w15:done="0"/>
  <w15:commentEx w15:paraId="E6F80467" w15:done="0"/>
  <w15:commentEx w15:paraId="AB0536EF" w15:done="0"/>
  <w15:commentEx w15:paraId="8293AF21" w15:done="0"/>
  <w15:commentEx w15:paraId="D5A5D271" w15:done="0"/>
  <w15:commentEx w15:paraId="F43E95F1" w15:done="0"/>
  <w15:commentEx w15:paraId="B0E0C441" w15:done="0"/>
  <w15:commentEx w15:paraId="5762910F" w15:done="0"/>
  <w15:commentEx w15:paraId="808421EE" w15:done="0"/>
  <w15:commentEx w15:paraId="DFC68548" w15:done="0"/>
  <w15:commentEx w15:paraId="83273141" w15:done="0"/>
  <w15:commentEx w15:paraId="6D7DE3B7" w15:done="0"/>
  <w15:commentEx w15:paraId="C5B595BD" w15:done="0"/>
  <w15:commentEx w15:paraId="3A252011" w15:done="0"/>
  <w15:commentEx w15:paraId="F5EA811B" w15:done="0"/>
  <w15:commentEx w15:paraId="8D4AAAFC" w15:done="0"/>
  <w15:commentEx w15:paraId="3B6F3217" w15:done="0"/>
  <w15:commentEx w15:paraId="34AA1F4B" w15:done="0"/>
  <w15:commentEx w15:paraId="0135DCD6" w15:done="0"/>
  <w15:commentEx w15:paraId="49C1FAB0" w15:done="0"/>
  <w15:commentEx w15:paraId="3D7550DD" w15:done="0"/>
  <w15:commentEx w15:paraId="9B2A8201" w15:done="0"/>
  <w15:commentEx w15:paraId="5D4E7599" w15:done="0"/>
  <w15:commentEx w15:paraId="376CEFA8" w15:done="0"/>
  <w15:commentEx w15:paraId="74487CC2" w15:done="0"/>
  <w15:commentEx w15:paraId="BA8703FA" w15:done="0"/>
  <w15:commentEx w15:paraId="5BEE81D9" w15:done="0"/>
  <w15:commentEx w15:paraId="CD4258EA" w15:done="0"/>
  <w15:commentEx w15:paraId="2100DC37"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5841" w:rsidRDefault="00D95841">
      <w:pPr>
        <w:spacing w:after="0" w:line="240" w:lineRule="auto"/>
      </w:pPr>
      <w:r>
        <w:separator/>
      </w:r>
    </w:p>
  </w:endnote>
  <w:endnote w:type="continuationSeparator" w:id="0">
    <w:p w:rsidR="00D95841" w:rsidRDefault="00D958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5841" w:rsidRDefault="00D95841">
      <w:pPr>
        <w:spacing w:after="0" w:line="240" w:lineRule="auto"/>
      </w:pPr>
      <w:r>
        <w:separator/>
      </w:r>
    </w:p>
  </w:footnote>
  <w:footnote w:type="continuationSeparator" w:id="0">
    <w:p w:rsidR="00D95841" w:rsidRDefault="00D958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16463842"/>
      <w:docPartObj>
        <w:docPartGallery w:val="Page Numbers (Top of Page)"/>
        <w:docPartUnique/>
      </w:docPartObj>
    </w:sdtPr>
    <w:sdtEndPr>
      <w:rPr>
        <w:noProof/>
      </w:rPr>
    </w:sdtEndPr>
    <w:sdtContent>
      <w:p w:rsidR="005F2B83" w:rsidRPr="005F2B83" w:rsidRDefault="00936640">
        <w:pPr>
          <w:pStyle w:val="Header"/>
          <w:jc w:val="right"/>
          <w:rPr>
            <w:rFonts w:ascii="Times New Roman" w:hAnsi="Times New Roman" w:cs="Times New Roman"/>
            <w:sz w:val="24"/>
            <w:szCs w:val="24"/>
          </w:rPr>
        </w:pPr>
        <w:r w:rsidRPr="005F2B83">
          <w:rPr>
            <w:rFonts w:ascii="Times New Roman" w:hAnsi="Times New Roman" w:cs="Times New Roman"/>
            <w:sz w:val="24"/>
            <w:szCs w:val="24"/>
          </w:rPr>
          <w:t>ECONOMETRICS OF OIL</w:t>
        </w:r>
        <w:r>
          <w:rPr>
            <w:rFonts w:ascii="Times New Roman" w:hAnsi="Times New Roman" w:cs="Times New Roman"/>
            <w:sz w:val="24"/>
            <w:szCs w:val="24"/>
          </w:rPr>
          <w:tab/>
        </w:r>
        <w:r>
          <w:rPr>
            <w:rFonts w:ascii="Times New Roman" w:hAnsi="Times New Roman" w:cs="Times New Roman"/>
            <w:sz w:val="24"/>
            <w:szCs w:val="24"/>
          </w:rPr>
          <w:tab/>
        </w:r>
        <w:r w:rsidRPr="005F2B83">
          <w:rPr>
            <w:rFonts w:ascii="Times New Roman" w:hAnsi="Times New Roman" w:cs="Times New Roman"/>
            <w:sz w:val="24"/>
            <w:szCs w:val="24"/>
          </w:rPr>
          <w:t xml:space="preserve"> </w:t>
        </w:r>
        <w:r w:rsidR="002D08F5" w:rsidRPr="005F2B83">
          <w:rPr>
            <w:rFonts w:ascii="Times New Roman" w:hAnsi="Times New Roman" w:cs="Times New Roman"/>
            <w:sz w:val="24"/>
            <w:szCs w:val="24"/>
          </w:rPr>
          <w:fldChar w:fldCharType="begin"/>
        </w:r>
        <w:r w:rsidRPr="005F2B83">
          <w:rPr>
            <w:rFonts w:ascii="Times New Roman" w:hAnsi="Times New Roman" w:cs="Times New Roman"/>
            <w:sz w:val="24"/>
            <w:szCs w:val="24"/>
          </w:rPr>
          <w:instrText xml:space="preserve"> PAGE   \* MERGEFORMAT </w:instrText>
        </w:r>
        <w:r w:rsidR="002D08F5" w:rsidRPr="005F2B83">
          <w:rPr>
            <w:rFonts w:ascii="Times New Roman" w:hAnsi="Times New Roman" w:cs="Times New Roman"/>
            <w:sz w:val="24"/>
            <w:szCs w:val="24"/>
          </w:rPr>
          <w:fldChar w:fldCharType="separate"/>
        </w:r>
        <w:r w:rsidR="00D24DFA">
          <w:rPr>
            <w:rFonts w:ascii="Times New Roman" w:hAnsi="Times New Roman" w:cs="Times New Roman"/>
            <w:noProof/>
            <w:sz w:val="24"/>
            <w:szCs w:val="24"/>
          </w:rPr>
          <w:t>2</w:t>
        </w:r>
        <w:r w:rsidR="002D08F5" w:rsidRPr="005F2B83">
          <w:rPr>
            <w:rFonts w:ascii="Times New Roman" w:hAnsi="Times New Roman" w:cs="Times New Roman"/>
            <w:noProof/>
            <w:sz w:val="24"/>
            <w:szCs w:val="24"/>
          </w:rPr>
          <w:fldChar w:fldCharType="end"/>
        </w:r>
      </w:p>
    </w:sdtContent>
  </w:sdt>
  <w:p w:rsidR="005F2B83" w:rsidRDefault="00D9584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B83" w:rsidRPr="005F2B83" w:rsidRDefault="00936640">
    <w:pPr>
      <w:pStyle w:val="Header"/>
      <w:jc w:val="right"/>
      <w:rPr>
        <w:rFonts w:ascii="Times New Roman" w:hAnsi="Times New Roman" w:cs="Times New Roman"/>
        <w:sz w:val="24"/>
        <w:szCs w:val="24"/>
      </w:rPr>
    </w:pPr>
    <w:r w:rsidRPr="005F2B83">
      <w:rPr>
        <w:rFonts w:ascii="Times New Roman" w:hAnsi="Times New Roman" w:cs="Times New Roman"/>
        <w:sz w:val="24"/>
        <w:szCs w:val="24"/>
      </w:rPr>
      <w:t xml:space="preserve">Running Head: ECONOMETRICS OF OIL </w:t>
    </w:r>
    <w:sdt>
      <w:sdtPr>
        <w:rPr>
          <w:rFonts w:ascii="Times New Roman" w:hAnsi="Times New Roman" w:cs="Times New Roman"/>
          <w:sz w:val="24"/>
          <w:szCs w:val="24"/>
        </w:rPr>
        <w:id w:val="-77709899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2D08F5" w:rsidRPr="005F2B83">
          <w:rPr>
            <w:rFonts w:ascii="Times New Roman" w:hAnsi="Times New Roman" w:cs="Times New Roman"/>
            <w:sz w:val="24"/>
            <w:szCs w:val="24"/>
          </w:rPr>
          <w:fldChar w:fldCharType="begin"/>
        </w:r>
        <w:r w:rsidRPr="005F2B83">
          <w:rPr>
            <w:rFonts w:ascii="Times New Roman" w:hAnsi="Times New Roman" w:cs="Times New Roman"/>
            <w:sz w:val="24"/>
            <w:szCs w:val="24"/>
          </w:rPr>
          <w:instrText xml:space="preserve"> PAGE   \* MERGEFORMAT </w:instrText>
        </w:r>
        <w:r w:rsidR="002D08F5" w:rsidRPr="005F2B83">
          <w:rPr>
            <w:rFonts w:ascii="Times New Roman" w:hAnsi="Times New Roman" w:cs="Times New Roman"/>
            <w:sz w:val="24"/>
            <w:szCs w:val="24"/>
          </w:rPr>
          <w:fldChar w:fldCharType="separate"/>
        </w:r>
        <w:r w:rsidR="00D24DFA">
          <w:rPr>
            <w:rFonts w:ascii="Times New Roman" w:hAnsi="Times New Roman" w:cs="Times New Roman"/>
            <w:noProof/>
            <w:sz w:val="24"/>
            <w:szCs w:val="24"/>
          </w:rPr>
          <w:t>1</w:t>
        </w:r>
        <w:r w:rsidR="002D08F5" w:rsidRPr="005F2B83">
          <w:rPr>
            <w:rFonts w:ascii="Times New Roman" w:hAnsi="Times New Roman" w:cs="Times New Roman"/>
            <w:noProof/>
            <w:sz w:val="24"/>
            <w:szCs w:val="24"/>
          </w:rPr>
          <w:fldChar w:fldCharType="end"/>
        </w:r>
      </w:sdtContent>
    </w:sdt>
  </w:p>
  <w:p w:rsidR="005F2B83" w:rsidRDefault="00D9584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DF27CB"/>
    <w:rsid w:val="002D08F5"/>
    <w:rsid w:val="00936640"/>
    <w:rsid w:val="00BE12B2"/>
    <w:rsid w:val="00D24DFA"/>
    <w:rsid w:val="00D95841"/>
    <w:rsid w:val="00DF27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8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B83"/>
  </w:style>
  <w:style w:type="paragraph" w:styleId="Footer">
    <w:name w:val="footer"/>
    <w:basedOn w:val="Normal"/>
    <w:link w:val="FooterChar"/>
    <w:uiPriority w:val="99"/>
    <w:unhideWhenUsed/>
    <w:rsid w:val="005F2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B83"/>
  </w:style>
  <w:style w:type="character" w:styleId="Hyperlink">
    <w:name w:val="Hyperlink"/>
    <w:basedOn w:val="DefaultParagraphFont"/>
    <w:uiPriority w:val="99"/>
    <w:semiHidden/>
    <w:unhideWhenUsed/>
    <w:rsid w:val="005F2B83"/>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D08F5"/>
    <w:pPr>
      <w:spacing w:line="240" w:lineRule="auto"/>
    </w:pPr>
    <w:rPr>
      <w:sz w:val="20"/>
      <w:szCs w:val="20"/>
    </w:rPr>
  </w:style>
  <w:style w:type="character" w:customStyle="1" w:styleId="CommentTextChar">
    <w:name w:val="Comment Text Char"/>
    <w:basedOn w:val="DefaultParagraphFont"/>
    <w:link w:val="CommentText"/>
    <w:uiPriority w:val="99"/>
    <w:semiHidden/>
    <w:rsid w:val="002D08F5"/>
    <w:rPr>
      <w:sz w:val="20"/>
      <w:szCs w:val="20"/>
    </w:rPr>
  </w:style>
  <w:style w:type="paragraph" w:styleId="BalloonText">
    <w:name w:val="Balloon Text"/>
    <w:basedOn w:val="Normal"/>
    <w:link w:val="BalloonTextChar"/>
    <w:uiPriority w:val="99"/>
    <w:semiHidden/>
    <w:unhideWhenUsed/>
    <w:rsid w:val="00BE1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2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2B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B83"/>
  </w:style>
  <w:style w:type="paragraph" w:styleId="Footer">
    <w:name w:val="footer"/>
    <w:basedOn w:val="Normal"/>
    <w:link w:val="FooterChar"/>
    <w:uiPriority w:val="99"/>
    <w:unhideWhenUsed/>
    <w:rsid w:val="005F2B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B83"/>
  </w:style>
  <w:style w:type="character" w:styleId="Hyperlink">
    <w:name w:val="Hyperlink"/>
    <w:basedOn w:val="DefaultParagraphFont"/>
    <w:uiPriority w:val="99"/>
    <w:semiHidden/>
    <w:unhideWhenUsed/>
    <w:rsid w:val="005F2B83"/>
    <w:rPr>
      <w:color w:val="0000FF"/>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E12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12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microsoft.com/office/2011/relationships/commentsExtended" Target="commentsExtended.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2018-02-15T14:50:00Z</dcterms:created>
  <dcterms:modified xsi:type="dcterms:W3CDTF">2018-02-15T14:50:00Z</dcterms:modified>
</cp:coreProperties>
</file>